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cs="Arial"/>
        </w:rPr>
      </w:pPr>
      <w:r>
        <w:rPr>
          <w:rFonts w:cs="Arial" w:ascii="Cambria" w:hAnsi="Cambria"/>
          <w:sz w:val="25"/>
          <w:szCs w:val="25"/>
        </w:rPr>
        <w:tab/>
        <w:tab/>
        <w:tab/>
        <w:tab/>
        <w:tab/>
        <w:tab/>
        <w:tab/>
      </w:r>
      <w:r>
        <w:rPr>
          <w:rFonts w:cs="Arial" w:ascii="Cambria" w:hAnsi="Cambria"/>
        </w:rPr>
        <w:t>Kraków, dnia 11 października 2019r.</w:t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>Opinia prawna dotycząca kwestii</w:t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>kwoty uzyskania przychodu pracowników naukowych uczelni wyższych</w:t>
      </w:r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>w oparciu o przepisy Prawa o szkolnictwie wyższym i nauce przy wypłatacie „13-stek”.</w:t>
      </w:r>
      <w:bookmarkStart w:id="0" w:name="_GoBack"/>
      <w:bookmarkEnd w:id="0"/>
    </w:p>
    <w:p>
      <w:pPr>
        <w:pStyle w:val="Normal"/>
        <w:jc w:val="center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rPr>
          <w:rFonts w:ascii="Cambria" w:hAnsi="Cambria" w:cs="Arial"/>
          <w:sz w:val="25"/>
          <w:szCs w:val="25"/>
          <w:u w:val="single"/>
        </w:rPr>
      </w:pPr>
      <w:r>
        <w:rPr>
          <w:rFonts w:cs="Arial" w:ascii="Cambria" w:hAnsi="Cambria"/>
          <w:sz w:val="25"/>
          <w:szCs w:val="25"/>
          <w:u w:val="single"/>
        </w:rPr>
        <w:t>Przedmiot opinii</w:t>
      </w:r>
    </w:p>
    <w:p>
      <w:pPr>
        <w:pStyle w:val="Normal"/>
        <w:jc w:val="both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>Przedmiotem opinii jest rozważnie, czy koszty uzyskania przychodu na poziomie 50% mogą być liczone także od 13stej pensji dla pracowników naukowych uczelni wyższych.</w:t>
      </w:r>
    </w:p>
    <w:p>
      <w:pPr>
        <w:pStyle w:val="Normal"/>
        <w:jc w:val="both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jc w:val="both"/>
        <w:rPr>
          <w:rFonts w:ascii="Cambria" w:hAnsi="Cambria" w:cs="Arial"/>
          <w:i/>
          <w:i/>
          <w:iCs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 xml:space="preserve">W oparciu o art. 117 us t  ustawy z dnia 20lipca 2018r.Prawo o szkolnictwie wyższym i nauce </w:t>
      </w:r>
      <w:r>
        <w:rPr>
          <w:rFonts w:cs="Arial" w:ascii="Cambria" w:hAnsi="Cambria"/>
          <w:i/>
          <w:iCs/>
          <w:sz w:val="25"/>
          <w:szCs w:val="25"/>
        </w:rPr>
        <w:t>Wykonywanie obowiązków nauczyciela akademickiego stanowi działalność twórczą o indywidualnym charakterze, o której mowa wart.1ust.1 ustawy z dnia 4lutego 1994r. oprawie autorskim   i prawach pokrewnych (Dz.U. z2018r. poz.1191 i1293).</w:t>
      </w:r>
    </w:p>
    <w:p>
      <w:pPr>
        <w:pStyle w:val="Normal"/>
        <w:jc w:val="both"/>
        <w:rPr>
          <w:rFonts w:ascii="Cambria" w:hAnsi="Cambria" w:cs="Arial"/>
          <w:i/>
          <w:i/>
          <w:iCs/>
          <w:sz w:val="25"/>
          <w:szCs w:val="25"/>
        </w:rPr>
      </w:pPr>
      <w:r>
        <w:rPr>
          <w:rFonts w:cs="Arial" w:ascii="Cambria" w:hAnsi="Cambria"/>
          <w:i/>
          <w:iCs/>
          <w:sz w:val="25"/>
          <w:szCs w:val="25"/>
        </w:rPr>
      </w:r>
    </w:p>
    <w:p>
      <w:pPr>
        <w:pStyle w:val="Normal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 xml:space="preserve">Wspominany przepis art. 1. Ust. 1 ustawy o prawie autorskim i prawach pokrewnych stanowi: </w:t>
      </w:r>
      <w:bookmarkStart w:id="1" w:name="mip49613142"/>
      <w:bookmarkEnd w:id="1"/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Art. 1 [Utwór]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bookmarkStart w:id="2" w:name="mip49613143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1. Przedmiotem </w:t>
      </w:r>
      <w:bookmarkStart w:id="3" w:name="highlightHit_10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prawa </w:t>
      </w:r>
      <w:bookmarkStart w:id="4" w:name="highlightHit_11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>autorskiego jest każdy przejaw działalności twórczej o indywidualnym charakterze, ustalony w jakiejkolwiek postaci, niezależnie od wartości, przeznaczenia i sposobu wyrażenia (utwór).</w:t>
      </w:r>
    </w:p>
    <w:p>
      <w:pPr>
        <w:pStyle w:val="Normal"/>
        <w:jc w:val="both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Arial" w:ascii="Cambria" w:hAnsi="Cambria"/>
          <w:sz w:val="25"/>
          <w:szCs w:val="25"/>
        </w:rPr>
        <w:t xml:space="preserve">Takie odesłanie przesądza zatem kwestię, czy wykonywanie obowiązków nauczyciela akademickiego stanowi działalność twórczą o charakterze indywidualnym.  </w:t>
      </w:r>
    </w:p>
    <w:p>
      <w:pPr>
        <w:pStyle w:val="Normal"/>
        <w:jc w:val="both"/>
        <w:rPr>
          <w:rFonts w:ascii="Cambria" w:hAnsi="Cambria" w:cs="Arial"/>
          <w:sz w:val="25"/>
          <w:szCs w:val="25"/>
        </w:rPr>
      </w:pPr>
      <w:r>
        <w:rPr>
          <w:rFonts w:cs="Arial" w:ascii="Cambria" w:hAnsi="Cambria"/>
          <w:sz w:val="25"/>
          <w:szCs w:val="25"/>
        </w:rPr>
        <w:t>Z kolei kwestia wysokości obliczania kosztów uzyskania przychodu jest uregulowana w  art. 22 ust. 9 pkt 3 Ustawy o podatku dochodowym od osób fizycznych, który wskazuje, że koszty uzyskania przychodów z tytułu korzystania przez twórców z praw autorskich i artystów wykonawców z praw pokrewnych, w rozumieniu odrębnych przepisów, lub rozporządzania przez nich tymi prawami, określa się w wysokości 50 procent kosztów uzyskania przychodu, z tym że koszty te oblicza się od przychodu pomniejszonego o potrącone przez płatnika w danym miesiącu składki na ubezpieczenia emerytalne i rentowe oraz na ubezpieczenie chorobowe.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Art. 22 ust 9 pkt 3)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bookmarkStart w:id="5" w:name="mip49990166"/>
      <w:bookmarkEnd w:id="5"/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>9. Koszty uzyskania niektórych przychodów określa się: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z tytułu korzystania przez twórców z praw autorskich i artystów wykonawców z praw pokrewnych, w rozumieniu odrębnych przepisów, lub rozporządzania przez nich tymi prawami - w wysokości 50% uzyskanego przychodu, z zastrzeżeniem ust. 9a i 9b, z tym że koszty te oblicza się od przychodu pomniejszonego o potrącone przez płatnika w danym miesiącu składki na ubezpieczenia emerytalne i rentowe oraz na ubezpieczenie chorobowe, o których mowa w art. 26 ust. 1 pkt 2 lit. b, których podstawę wymiaru stanowi ten przychód.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 xml:space="preserve">Od 1 stycznia 2018r. weszła w życie nowelizacja ustawy o podatku dochodowym od osób fizycznych, która dodała ust. 9b m który wymienia do jakich rodzajów działalności może być stosowane 50 % KUP, wymieniając także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sa-IN"/>
        </w:rPr>
        <w:t>działalność  badawczo-rozwojową oraz naukowo-dydaktyczną;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sa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sa-IN"/>
        </w:rPr>
        <w:tab/>
        <w:t xml:space="preserve">W związku z powyższym zasadne jest przyjęcie, iż wynagrodzenie nauczyciela </w:t>
      </w:r>
      <w:r>
        <w:rPr>
          <w:rFonts w:eastAsia="Times New Roman" w:cs="Times New Roman" w:ascii="Cambria" w:hAnsi="Cambria"/>
          <w:sz w:val="25"/>
          <w:szCs w:val="25"/>
          <w:lang w:eastAsia="pl-PL" w:bidi="sa-IN"/>
        </w:rPr>
        <w:t>akademickiego podlega opodatkowaniu z zachowaniem 50% KUP.</w:t>
      </w:r>
    </w:p>
    <w:p>
      <w:pPr>
        <w:pStyle w:val="Normal"/>
        <w:jc w:val="both"/>
        <w:rPr>
          <w:rFonts w:ascii="Cambria" w:hAnsi="Cambria"/>
          <w:sz w:val="25"/>
          <w:szCs w:val="25"/>
        </w:rPr>
      </w:pPr>
      <w:r>
        <w:rPr>
          <w:rFonts w:eastAsia="Times New Roman" w:cs="Times New Roman" w:ascii="Cambria" w:hAnsi="Cambria"/>
          <w:sz w:val="25"/>
          <w:szCs w:val="25"/>
          <w:lang w:eastAsia="pl-PL" w:bidi="sa-IN"/>
        </w:rPr>
        <w:t xml:space="preserve">Pensja 13-ta także podlega temu samemu reżimowy. Bowiem, nie ma podstaw, by stosować wobec niej inne zasady opodatkowania. Pracodawca może bowiem w sposób dowolny kształtować  częstotliwość wynagrodzeń. </w:t>
      </w:r>
    </w:p>
    <w:p>
      <w:pPr>
        <w:pStyle w:val="Normal"/>
        <w:jc w:val="both"/>
        <w:rPr>
          <w:rFonts w:eastAsia="Times New Roman" w:cs="Arial"/>
          <w:lang w:eastAsia="pl-PL" w:bidi="sa-IN"/>
        </w:rPr>
      </w:pPr>
      <w:r>
        <w:rPr>
          <w:rFonts w:ascii="Cambria" w:hAnsi="Cambria"/>
          <w:sz w:val="25"/>
          <w:szCs w:val="25"/>
        </w:rPr>
      </w:r>
    </w:p>
    <w:p>
      <w:pPr>
        <w:pStyle w:val="Normal"/>
        <w:jc w:val="right"/>
        <w:rPr>
          <w:rFonts w:ascii="Cambria" w:hAnsi="Cambria"/>
          <w:sz w:val="25"/>
          <w:szCs w:val="25"/>
        </w:rPr>
      </w:pPr>
      <w:r>
        <w:rPr>
          <w:rFonts w:eastAsia="Times New Roman" w:cs="Arial" w:ascii="Cambria" w:hAnsi="Cambria"/>
          <w:sz w:val="25"/>
          <w:szCs w:val="25"/>
          <w:lang w:eastAsia="pl-PL" w:bidi="sa-IN"/>
        </w:rPr>
        <w:t>Z poważaniem,</w:t>
      </w:r>
    </w:p>
    <w:p>
      <w:pPr>
        <w:pStyle w:val="Normal"/>
        <w:jc w:val="right"/>
        <w:rPr>
          <w:rFonts w:ascii="Cambria" w:hAnsi="Cambria"/>
          <w:sz w:val="25"/>
          <w:szCs w:val="25"/>
        </w:rPr>
      </w:pPr>
      <w:r>
        <w:rPr>
          <w:rFonts w:eastAsia="Times New Roman" w:cs="Arial" w:ascii="Cambria" w:hAnsi="Cambria"/>
          <w:sz w:val="25"/>
          <w:szCs w:val="25"/>
          <w:lang w:eastAsia="pl-PL" w:bidi="sa-IN"/>
        </w:rPr>
        <w:t>adw. Zbigniew Cichoń</w:t>
      </w:r>
    </w:p>
    <w:p>
      <w:pPr>
        <w:pStyle w:val="Normal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</w:r>
    </w:p>
    <w:p>
      <w:pPr>
        <w:pStyle w:val="Normal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rticletitle" w:customStyle="1">
    <w:name w:val="articletitle"/>
    <w:basedOn w:val="DefaultParagraphFont"/>
    <w:qFormat/>
    <w:rsid w:val="0069118c"/>
    <w:rPr/>
  </w:style>
  <w:style w:type="character" w:styleId="Highlight" w:customStyle="1">
    <w:name w:val="highlight"/>
    <w:basedOn w:val="DefaultParagraphFont"/>
    <w:qFormat/>
    <w:rsid w:val="0069118c"/>
    <w:rPr/>
  </w:style>
  <w:style w:type="character" w:styleId="Czeinternetowe">
    <w:name w:val="Łącze internetowe"/>
    <w:basedOn w:val="DefaultParagraphFont"/>
    <w:uiPriority w:val="99"/>
    <w:semiHidden/>
    <w:unhideWhenUsed/>
    <w:rsid w:val="00427af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997165"/>
    <w:pPr>
      <w:spacing w:lineRule="auto" w:line="240" w:before="0" w:after="0"/>
      <w:ind w:left="2880" w:hanging="0"/>
    </w:pPr>
    <w:rPr>
      <w:rFonts w:ascii="Calibri Light" w:hAnsi="Calibri Light" w:eastAsia="" w:cs="Mangal" w:asciiTheme="majorHAnsi" w:cstheme="majorBidi" w:eastAsiaTheme="majorEastAsia" w:hAnsiTheme="majorHAns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qFormat/>
    <w:rsid w:val="00997165"/>
    <w:pPr>
      <w:spacing w:lineRule="auto" w:line="240" w:before="0" w:after="0"/>
    </w:pPr>
    <w:rPr>
      <w:rFonts w:ascii="Calibri Light" w:hAnsi="Calibri Light" w:eastAsia="" w:cs="Mangal" w:asciiTheme="majorHAnsi" w:cstheme="majorBidi" w:eastAsiaTheme="majorEastAsia" w:hAnsiTheme="majorHAns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LibreOffice/6.0.2.1$Windows_X86_64 LibreOffice_project/f7f06a8f319e4b62f9bc5095aa112a65d2f3ac89</Application>
  <Pages>2</Pages>
  <Words>427</Words>
  <Characters>2609</Characters>
  <CharactersWithSpaces>3037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2019-10-11T11:26:00Z</dcterms:created>
  <dc:creator>Biuro</dc:creator>
  <dc:description/>
  <dc:language>pl-PL</dc:language>
  <cp:lastModifiedBy/>
  <dcterms:modified xsi:type="dcterms:W3CDTF">2019-10-11T15:02:13Z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